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600" w:line="319.9992" w:lineRule="auto"/>
        <w:rPr/>
      </w:pPr>
      <w:bookmarkStart w:colFirst="0" w:colLast="0" w:name="_nvitm3g1eibm" w:id="0"/>
      <w:bookmarkEnd w:id="0"/>
      <w:r w:rsidDel="00000000" w:rsidR="00000000" w:rsidRPr="00000000">
        <w:rPr>
          <w:b w:val="1"/>
          <w:bCs w:val="1"/>
          <w:sz w:val="54"/>
          <w:szCs w:val="54"/>
          <w:rtl w:val="0"/>
        </w:rPr>
        <w:t xml:space="preserve">Charte d’utilisation de</w:t>
        <w:br w:type="textWrapping"/>
        <w:t xml:space="preserve">l’Intelligence Artificielle</w:t>
        <w:br w:type="textWrapping"/>
      </w:r>
      <w:r w:rsidDel="00000000" w:rsidR="00000000" w:rsidRPr="00000000">
        <w:rPr>
          <w:i w:val="1"/>
          <w:iCs w:val="1"/>
          <w:color w:val="999999"/>
          <w:sz w:val="24"/>
          <w:szCs w:val="24"/>
          <w:rtl w:val="0"/>
        </w:rPr>
        <w:t xml:space="preserve">Ce modèle gratuit et adaptable aide les structures touristiques à cadrer l'IA,</w:t>
        <w:br w:type="textWrapping"/>
        <w:t xml:space="preserve">sans toutefois se substituer à un conseil juridique.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8fafc" w:val="clear"/>
        <w:spacing w:after="400" w:line="300" w:lineRule="auto"/>
        <w:rPr>
          <w:color w:val="334155"/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Objectif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ce document constitue un modèle simple de base pour démarrer une utilisation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responsable, éthique et sécurisée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de l’IA dans une structure touristique.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txzkq2o7mvse" w:id="1"/>
      <w:bookmarkEnd w:id="1"/>
      <w:r w:rsidDel="00000000" w:rsidR="00000000" w:rsidRPr="00000000">
        <w:rPr>
          <w:b w:val="1"/>
          <w:bCs w:val="1"/>
          <w:rtl w:val="0"/>
        </w:rPr>
        <w:t xml:space="preserve">1. POURQUOI CETTE CHARTE ?</w:t>
      </w:r>
    </w:p>
    <w:p w:rsidR="00000000" w:rsidDel="00000000" w:rsidP="00000000" w:rsidRDefault="00000000" w:rsidRPr="00000000" w14:paraId="00000004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L’Intelligence Artificielle (IA) est une opportunité pour simplifier nos tâches quotidiennes, innover et mieux promouvoir notre territoire. Toutefois, ces outils doivent être utilisés de manière responsable, éthique et sécurisée.</w:t>
      </w:r>
    </w:p>
    <w:p w:rsidR="00000000" w:rsidDel="00000000" w:rsidP="00000000" w:rsidRDefault="00000000" w:rsidRPr="00000000" w14:paraId="00000005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before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Cette charte définit les règles de bon usage pour tous les collaborateurs.</w:t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ole4ocodady2" w:id="2"/>
      <w:bookmarkEnd w:id="2"/>
      <w:r w:rsidDel="00000000" w:rsidR="00000000" w:rsidRPr="00000000">
        <w:rPr>
          <w:b w:val="1"/>
          <w:bCs w:val="1"/>
          <w:rtl w:val="0"/>
        </w:rPr>
        <w:t xml:space="preserve">2. LES 5 PRINCIPES D’UTILISATION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0" w:line="360" w:lineRule="auto"/>
        <w:rPr>
          <w:b w:val="1"/>
          <w:bCs w:val="1"/>
          <w:color w:val="0f172a"/>
          <w:sz w:val="35"/>
          <w:szCs w:val="35"/>
        </w:rPr>
      </w:pPr>
      <w:bookmarkStart w:colFirst="0" w:colLast="0" w:name="_clu6qoyku03t" w:id="3"/>
      <w:bookmarkEnd w:id="3"/>
      <w:r w:rsidDel="00000000" w:rsidR="00000000" w:rsidRPr="00000000">
        <w:rPr>
          <w:b w:val="1"/>
          <w:bCs w:val="1"/>
          <w:color w:val="0f172a"/>
          <w:sz w:val="35"/>
          <w:szCs w:val="35"/>
          <w:rtl w:val="0"/>
        </w:rPr>
        <w:t xml:space="preserve">2.1. Responsabilité humaine : l’IA est un assistant</w:t>
      </w:r>
    </w:p>
    <w:p w:rsidR="00000000" w:rsidDel="00000000" w:rsidP="00000000" w:rsidRDefault="00000000" w:rsidRPr="00000000" w14:paraId="00000008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L’IA est un outil de soutien. Elle ne remplace pas l’expertise métier.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5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Vigilance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l’IA peut commettre des erreurs ou inventer des faits (parfois appelés « hallucinations »).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Validation obligatoire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tout contenu généré avec une IA doit être relu, vérifié et validé par un humain avant d’être utilisé ou partagé. La responsabilité du résultat final reste humaine.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  <w:color w:val="0f172a"/>
          <w:sz w:val="35"/>
          <w:szCs w:val="35"/>
        </w:rPr>
      </w:pPr>
      <w:bookmarkStart w:colFirst="0" w:colLast="0" w:name="_cg7ikjaqkdru" w:id="4"/>
      <w:bookmarkEnd w:id="4"/>
      <w:r w:rsidDel="00000000" w:rsidR="00000000" w:rsidRPr="00000000">
        <w:rPr>
          <w:b w:val="1"/>
          <w:bCs w:val="1"/>
          <w:color w:val="0f172a"/>
          <w:sz w:val="35"/>
          <w:szCs w:val="35"/>
          <w:rtl w:val="0"/>
        </w:rPr>
        <w:t xml:space="preserve">2.2. Confidentialité et sécurité des données</w:t>
      </w:r>
    </w:p>
    <w:p w:rsidR="00000000" w:rsidDel="00000000" w:rsidP="00000000" w:rsidRDefault="00000000" w:rsidRPr="00000000" w14:paraId="0000000C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La protection de notre patrimoine numérique est une priorité.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5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Données personnelles et informations internes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il est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interdit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de saisir dans un outil d’IA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non autorisé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des données personnelles (noms, e-mails, numéros de téléphone,…) ou des informations internes/confidentielles (stratégie, finances, documents non publics).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Anonymisation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lorsque c’est nécessaire pour un usage professionnel, seules des données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anonymisées ou pseudonymisées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peuvent être utilisées, et uniquement avec un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outil figurant dans le référentiel interne des outils autorisés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Cadre légal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l’utilisation doit respecter le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RGPD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et les obligations applicables (dont l’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AI Act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0">
      <w:pPr>
        <w:shd w:fill="f8fafc" w:val="clear"/>
        <w:spacing w:after="400" w:before="400" w:line="360" w:lineRule="auto"/>
        <w:rPr>
          <w:color w:val="334155"/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À retenir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une donnée </w:t>
      </w:r>
      <w:r w:rsidDel="00000000" w:rsidR="00000000" w:rsidRPr="00000000">
        <w:rPr>
          <w:i w:val="1"/>
          <w:iCs w:val="1"/>
          <w:color w:val="334155"/>
          <w:sz w:val="24"/>
          <w:szCs w:val="24"/>
          <w:rtl w:val="0"/>
        </w:rPr>
        <w:t xml:space="preserve">pseudonymisée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reste une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donnée personnelle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au sens du RGPD.</w:t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  <w:color w:val="0f172a"/>
          <w:sz w:val="35"/>
          <w:szCs w:val="35"/>
        </w:rPr>
      </w:pPr>
      <w:bookmarkStart w:colFirst="0" w:colLast="0" w:name="_fp4ne7ugegfy" w:id="5"/>
      <w:bookmarkEnd w:id="5"/>
      <w:r w:rsidDel="00000000" w:rsidR="00000000" w:rsidRPr="00000000">
        <w:rPr>
          <w:b w:val="1"/>
          <w:bCs w:val="1"/>
          <w:color w:val="0f172a"/>
          <w:sz w:val="35"/>
          <w:szCs w:val="35"/>
          <w:rtl w:val="0"/>
        </w:rPr>
        <w:t xml:space="preserve">2.3. Transparence : savoir quand l’IA est là</w:t>
      </w:r>
    </w:p>
    <w:p w:rsidR="00000000" w:rsidDel="00000000" w:rsidP="00000000" w:rsidRDefault="00000000" w:rsidRPr="00000000" w14:paraId="00000012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Nous prônons une utilisation honnête et loyale de la technologie.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5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Mention recommandée/obligatoire selon le cas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si un contenu (texte, image, son) est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largement produit par une IA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et partagé à l’extérieur, ajouter une mention claire, par exemple :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« Créé avec l’aide de l’IA »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Repère simple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une mention est attendue lorsque l’IA a rédigé la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première version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ou a produit des éléments publiés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quasi tels quels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  <w:color w:val="0f172a"/>
          <w:sz w:val="35"/>
          <w:szCs w:val="35"/>
        </w:rPr>
      </w:pPr>
      <w:bookmarkStart w:colFirst="0" w:colLast="0" w:name="_ywc3wlclm4ey" w:id="6"/>
      <w:bookmarkEnd w:id="6"/>
      <w:r w:rsidDel="00000000" w:rsidR="00000000" w:rsidRPr="00000000">
        <w:rPr>
          <w:b w:val="1"/>
          <w:bCs w:val="1"/>
          <w:color w:val="0f172a"/>
          <w:sz w:val="35"/>
          <w:szCs w:val="35"/>
          <w:rtl w:val="0"/>
        </w:rPr>
        <w:t xml:space="preserve">2.4. Équité et éthique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18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Attention aux biais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l’IA peut reproduire ou amplifier des préjugés issus de ses données d’apprentissage. Rester vigilant afin de ne pas diffuser de contenus discriminatoires, stéréotypés ou injustes.</w:t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  <w:color w:val="0f172a"/>
          <w:sz w:val="35"/>
          <w:szCs w:val="35"/>
        </w:rPr>
      </w:pPr>
      <w:bookmarkStart w:colFirst="0" w:colLast="0" w:name="_906hpu4112o" w:id="7"/>
      <w:bookmarkEnd w:id="7"/>
      <w:r w:rsidDel="00000000" w:rsidR="00000000" w:rsidRPr="00000000">
        <w:rPr>
          <w:b w:val="1"/>
          <w:bCs w:val="1"/>
          <w:color w:val="0f172a"/>
          <w:sz w:val="35"/>
          <w:szCs w:val="35"/>
          <w:rtl w:val="0"/>
        </w:rPr>
        <w:t xml:space="preserve">2.5. Sobriété environnementale</w:t>
      </w:r>
    </w:p>
    <w:p w:rsidR="00000000" w:rsidDel="00000000" w:rsidP="00000000" w:rsidRDefault="00000000" w:rsidRPr="00000000" w14:paraId="00000018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Les modèles d’IA, en particulier les plus puissants, consomment de l’énergie.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5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color w:val="0f172a"/>
          <w:sz w:val="24"/>
          <w:szCs w:val="24"/>
          <w:rtl w:val="0"/>
        </w:rPr>
        <w:t xml:space="preserve">Usage raisonné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éviter les requêtes inutiles, réutiliser des gabarits/prompt déjà validés, et privilégier les usages qui apportent une réelle valeur ajoutée à nos missions.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5ssei68eskin" w:id="8"/>
      <w:bookmarkEnd w:id="8"/>
      <w:r w:rsidDel="00000000" w:rsidR="00000000" w:rsidRPr="00000000">
        <w:rPr>
          <w:b w:val="1"/>
          <w:bCs w:val="1"/>
          <w:rtl w:val="0"/>
        </w:rPr>
        <w:t xml:space="preserve">3. CE QU’IL NE FAUT PAS FAIRE (SÉCURITÉ)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18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Outils non validés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il est interdit d’utiliser un outil IA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non présent dans le référentiel interne des outils autorisés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pour traiter des informations internes, personnelles ou confidentielles.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Comptes personnels / versions grand public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à défaut de validation explicite, ne pas utiliser des comptes personnels (y compris sur des services grand public) pour des usages professionnels impliquant des informations internes.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Appareils personnels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ne pas utiliser d’équipements personnels pour accéder aux outils IA de la structure sans autorisation.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Droits (textes / images)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ne pas intégrer de contenus non libres de droits (photos, logos, brochures,…) sans autorisation, et vérifier les licences avant diffusion.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Incident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en cas de doute ou d’erreur (ex. information sensible saisie), prévenir immédiatement le Référent IA (et, si applicable, le DPO).</w:t>
      </w:r>
    </w:p>
    <w:p w:rsidR="00000000" w:rsidDel="00000000" w:rsidP="00000000" w:rsidRDefault="00000000" w:rsidRPr="00000000" w14:paraId="00000020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fstadlfeyufz" w:id="9"/>
      <w:bookmarkEnd w:id="9"/>
      <w:r w:rsidDel="00000000" w:rsidR="00000000" w:rsidRPr="00000000">
        <w:rPr>
          <w:b w:val="1"/>
          <w:bCs w:val="1"/>
          <w:rtl w:val="0"/>
        </w:rPr>
        <w:t xml:space="preserve">4. PILOTAGE : LE RÉFÉRENT IA ET LA DIRECTION</w:t>
      </w:r>
    </w:p>
    <w:p w:rsidR="00000000" w:rsidDel="00000000" w:rsidP="00000000" w:rsidRDefault="00000000" w:rsidRPr="00000000" w14:paraId="00000021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Pour une utilisation maîtrisée, notre organisation s’appuie sur une collaboration étroite :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0" w:afterAutospacing="0" w:before="5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Le Référent IA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interlocuteur de proximité. Il anime la réflexion, teste les outils, et aide l’équipe au quotidien. Il est le premier point de contact pour toute idée, question ou alerte.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5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f172a"/>
          <w:sz w:val="24"/>
          <w:szCs w:val="24"/>
          <w:rtl w:val="0"/>
        </w:rPr>
        <w:t xml:space="preserve">Le rôle de la Direction / du responsable :</w:t>
      </w:r>
      <w:r w:rsidDel="00000000" w:rsidR="00000000" w:rsidRPr="00000000">
        <w:rPr>
          <w:b w:val="1"/>
          <w:bCs w:val="1"/>
          <w:color w:val="334155"/>
          <w:sz w:val="24"/>
          <w:szCs w:val="24"/>
          <w:rtl w:val="0"/>
        </w:rPr>
        <w:t xml:space="preserve"> 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il ou elle valide les choix d’outils et la stratégie sur proposition du Référent IA, et s’assure que l’usage de l’IA reste aligné avec les valeurs et le budget de la structure.</w:t>
      </w:r>
    </w:p>
    <w:p w:rsidR="00000000" w:rsidDel="00000000" w:rsidP="00000000" w:rsidRDefault="00000000" w:rsidRPr="00000000" w14:paraId="00000024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7espo6e6uiya" w:id="10"/>
      <w:bookmarkEnd w:id="10"/>
      <w:r w:rsidDel="00000000" w:rsidR="00000000" w:rsidRPr="00000000">
        <w:rPr>
          <w:b w:val="1"/>
          <w:bCs w:val="1"/>
          <w:rtl w:val="0"/>
        </w:rPr>
        <w:t xml:space="preserve">5. CHOIX DES OUTILS</w:t>
      </w:r>
    </w:p>
    <w:p w:rsidR="00000000" w:rsidDel="00000000" w:rsidP="00000000" w:rsidRDefault="00000000" w:rsidRPr="00000000" w14:paraId="00000025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L’utilisation des outils d’IA au sein de notre structure est encadrée par un </w:t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Référentiel interne des outils autorisés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. Ce document, distinct de la présente charte, est mis à jour en fonction de l’évolution des technologies, des abonnements, et des exigences de sécurité.</w:t>
      </w:r>
    </w:p>
    <w:p w:rsidR="00000000" w:rsidDel="00000000" w:rsidP="00000000" w:rsidRDefault="00000000" w:rsidRPr="00000000" w14:paraId="00000026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before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Tout usage d’un outil non présent dans ce référentiel doit faire l’objet d’une validation préalable.</w:t>
      </w:r>
    </w:p>
    <w:p w:rsidR="00000000" w:rsidDel="00000000" w:rsidP="00000000" w:rsidRDefault="00000000" w:rsidRPr="00000000" w14:paraId="00000027">
      <w:pPr>
        <w:pStyle w:val="Heading2"/>
        <w:keepNext w:val="0"/>
        <w:keepLines w:val="0"/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240" w:before="580" w:line="360" w:lineRule="auto"/>
        <w:rPr>
          <w:b w:val="1"/>
          <w:bCs w:val="1"/>
        </w:rPr>
      </w:pPr>
      <w:bookmarkStart w:colFirst="0" w:colLast="0" w:name="_xa0i9t3g1mhk" w:id="11"/>
      <w:bookmarkEnd w:id="11"/>
      <w:r w:rsidDel="00000000" w:rsidR="00000000" w:rsidRPr="00000000">
        <w:rPr>
          <w:b w:val="1"/>
          <w:bCs w:val="1"/>
          <w:rtl w:val="0"/>
        </w:rPr>
        <w:t xml:space="preserve">6. ACCOMPAGNEMENT ET ÉVOLUTION</w:t>
      </w:r>
    </w:p>
    <w:p w:rsidR="00000000" w:rsidDel="00000000" w:rsidP="00000000" w:rsidRDefault="00000000" w:rsidRPr="00000000" w14:paraId="00000028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La structure s’engage à accompagner chaque salarié par des ateliers pratiques afin d’utiliser ces outils en toute confiance.</w:t>
      </w:r>
    </w:p>
    <w:p w:rsidR="00000000" w:rsidDel="00000000" w:rsidP="00000000" w:rsidRDefault="00000000" w:rsidRPr="00000000" w14:paraId="00000029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before="360" w:lineRule="auto"/>
        <w:rPr>
          <w:color w:val="334155"/>
          <w:sz w:val="24"/>
          <w:szCs w:val="24"/>
        </w:rPr>
      </w:pPr>
      <w:r w:rsidDel="00000000" w:rsidR="00000000" w:rsidRPr="00000000">
        <w:rPr>
          <w:color w:val="334155"/>
          <w:sz w:val="24"/>
          <w:szCs w:val="24"/>
          <w:rtl w:val="0"/>
        </w:rPr>
        <w:t xml:space="preserve">Cette charte est révisée au minimum une fois par an pour suivre les évolutions technologiques et législatives.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e2e8f0" w:space="0" w:sz="0" w:val="none"/>
          <w:left w:color="e2e8f0" w:space="0" w:sz="0" w:val="none"/>
          <w:bottom w:color="e2e8f0" w:space="0" w:sz="0" w:val="none"/>
          <w:right w:color="e2e8f0" w:space="0" w:sz="0" w:val="none"/>
          <w:between w:color="e2e8f0" w:space="0" w:sz="0" w:val="none"/>
        </w:pBdr>
        <w:shd w:fill="ffffff" w:val="clear"/>
        <w:spacing w:after="360" w:lineRule="auto"/>
        <w:rPr>
          <w:color w:val="334155"/>
          <w:sz w:val="27"/>
          <w:szCs w:val="27"/>
        </w:rPr>
      </w:pPr>
      <w:r w:rsidDel="00000000" w:rsidR="00000000" w:rsidRPr="00000000">
        <w:rPr>
          <w:color w:val="0f172a"/>
          <w:sz w:val="24"/>
          <w:szCs w:val="24"/>
          <w:rtl w:val="0"/>
        </w:rPr>
        <w:br w:type="textWrapping"/>
        <w:t xml:space="preserve">Référent IA (ou personne de contact)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[Nom – e-mail]</w:t>
        <w:br w:type="textWrapping"/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Responsable de la structure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[Nom]</w:t>
        <w:br w:type="textWrapping"/>
      </w:r>
      <w:r w:rsidDel="00000000" w:rsidR="00000000" w:rsidRPr="00000000">
        <w:rPr>
          <w:color w:val="0f172a"/>
          <w:sz w:val="24"/>
          <w:szCs w:val="24"/>
          <w:rtl w:val="0"/>
        </w:rPr>
        <w:t xml:space="preserve">Date d’entrée en vigueur :</w:t>
      </w:r>
      <w:r w:rsidDel="00000000" w:rsidR="00000000" w:rsidRPr="00000000">
        <w:rPr>
          <w:color w:val="334155"/>
          <w:sz w:val="24"/>
          <w:szCs w:val="24"/>
          <w:rtl w:val="0"/>
        </w:rPr>
        <w:t xml:space="preserve"> [Date]</w:t>
      </w:r>
      <w:r w:rsidDel="00000000" w:rsidR="00000000" w:rsidRPr="00000000">
        <w:rPr>
          <w:color w:val="334155"/>
          <w:sz w:val="27"/>
          <w:szCs w:val="27"/>
          <w:rtl w:val="0"/>
        </w:rPr>
        <w:br w:type="textWrapping"/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jc w:val="center"/>
      <w:rPr>
        <w:color w:val="b7b7b7"/>
        <w:sz w:val="18"/>
        <w:szCs w:val="18"/>
      </w:rPr>
    </w:pPr>
    <w:hyperlink r:id="rId1">
      <w:r w:rsidDel="00000000" w:rsidR="00000000" w:rsidRPr="00000000">
        <w:rPr>
          <w:b w:val="1"/>
          <w:bCs w:val="1"/>
          <w:color w:val="b7b7b7"/>
          <w:sz w:val="18"/>
          <w:szCs w:val="18"/>
          <w:rtl w:val="0"/>
        </w:rPr>
        <w:t xml:space="preserve">iatechtravel.cafe</w:t>
      </w:r>
    </w:hyperlink>
    <w:hyperlink r:id="rId2">
      <w:r w:rsidDel="00000000" w:rsidR="00000000" w:rsidRPr="00000000">
        <w:rPr>
          <w:color w:val="b7b7b7"/>
          <w:sz w:val="18"/>
          <w:szCs w:val="18"/>
          <w:rtl w:val="0"/>
        </w:rPr>
        <w:t xml:space="preserve">/charte-ia-tourisme-modele-gratuit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>
        <w:color w:val="999999"/>
        <w:sz w:val="20"/>
        <w:szCs w:val="20"/>
      </w:rPr>
    </w:pPr>
    <w:r w:rsidDel="00000000" w:rsidR="00000000" w:rsidRPr="00000000">
      <w:rPr>
        <w:color w:val="999999"/>
        <w:sz w:val="20"/>
        <w:szCs w:val="20"/>
        <w:rtl w:val="0"/>
      </w:rPr>
      <w:t xml:space="preserve">IA, Tech &amp; Travel Café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334155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www.iatechtravel.cafe/charte-ia-tourisme-modele-gratuit/" TargetMode="External"/><Relationship Id="rId2" Type="http://schemas.openxmlformats.org/officeDocument/2006/relationships/hyperlink" Target="https://www.iatechtravel.cafe/charte-ia-tourisme-modele-gratu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